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A70" w:rsidRDefault="00EE068F" w:rsidP="00677A7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5</w:t>
      </w:r>
      <w:r w:rsidR="00677A70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EE068F" w:rsidRP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..............................................</w:t>
      </w:r>
    </w:p>
    <w:p w:rsidR="00EE068F" w:rsidRP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..............................................</w:t>
      </w:r>
    </w:p>
    <w:p w:rsidR="00EE068F" w:rsidRP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..............................................</w:t>
      </w:r>
    </w:p>
    <w:p w:rsidR="00677A70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Nazwa i adres W</w:t>
      </w: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ykonawcy</w:t>
      </w:r>
    </w:p>
    <w:p w:rsid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EE068F" w:rsidRDefault="00EE068F" w:rsidP="00EE068F">
      <w:pPr>
        <w:widowControl w:val="0"/>
        <w:spacing w:after="0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E06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:rsidR="00EE068F" w:rsidRPr="00EE068F" w:rsidRDefault="00EE068F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skierowanych przez W</w:t>
      </w:r>
      <w:r w:rsidRPr="00EE06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ykonawcę do realizacji zamówienia publicznego</w:t>
      </w: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677A70" w:rsidRPr="003D30DA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677A70" w:rsidRDefault="00EE068F" w:rsidP="00EE068F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</w:pPr>
      <w:r w:rsidRPr="00EE068F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Gmina Miasto Suwałki, ul. Mickiewicza 1, 16 – 400 Suwałki w imieniu której działa Zarząd Budynków Mieszkalnych w Suwałkach TBS</w:t>
      </w:r>
      <w:r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 sp. z o.o., ul. Wigierska 32, </w:t>
      </w:r>
      <w:r w:rsidRPr="00EE068F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16 – 400 Suwałki reprezentowana przez Prezesa Zarządu – Jarosława Lebiediew na podstawie umowy gospodarowania i zarządzania nieruchomościami stanowiącymi własność Gminy Miasta Suwałki z dnia 31 grudnia 2015 r.</w:t>
      </w:r>
    </w:p>
    <w:p w:rsidR="00EE068F" w:rsidRPr="005A0211" w:rsidRDefault="00EE068F" w:rsidP="00EE068F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77A70" w:rsidRPr="00E0123B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</w:t>
      </w:r>
      <w:r w:rsidR="00EE068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publicznego </w:t>
      </w: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pn. </w:t>
      </w:r>
      <w:bookmarkStart w:id="0" w:name="_GoBack"/>
      <w:bookmarkEnd w:id="0"/>
      <w:r w:rsidR="00EE068F" w:rsidRPr="00EE068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„Remont schodów wejściowych do budynku użytkowego przy </w:t>
      </w:r>
      <w:r w:rsidR="00EE068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                              </w:t>
      </w:r>
      <w:r w:rsidR="00EE068F" w:rsidRPr="00EE068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ul. Noniewicza 71A w Suwałkach wraz z wymianą drzwi wejściowych od strony zewnętrznej”</w:t>
      </w:r>
      <w:r w:rsidR="00EE068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.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677A70" w:rsidRPr="001936D6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68" w:type="dxa"/>
        <w:tblLook w:val="01E0" w:firstRow="1" w:lastRow="1" w:firstColumn="1" w:lastColumn="1" w:noHBand="0" w:noVBand="0"/>
      </w:tblPr>
      <w:tblGrid>
        <w:gridCol w:w="2405"/>
        <w:gridCol w:w="1843"/>
        <w:gridCol w:w="2977"/>
        <w:gridCol w:w="1843"/>
      </w:tblGrid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677A70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2977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677A70" w:rsidRPr="005A0211" w:rsidRDefault="00677A70" w:rsidP="00ED12C9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677A70" w:rsidRPr="005A0211" w:rsidRDefault="00677A70" w:rsidP="00ED12C9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>
              <w:rPr>
                <w:sz w:val="16"/>
                <w:szCs w:val="16"/>
              </w:rPr>
              <w:t>*</w:t>
            </w:r>
          </w:p>
        </w:tc>
      </w:tr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677A70" w:rsidRPr="00BA69C2" w:rsidRDefault="00677A70" w:rsidP="00ED12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A69C2">
              <w:rPr>
                <w:sz w:val="16"/>
                <w:szCs w:val="16"/>
              </w:rPr>
              <w:t xml:space="preserve">ierownik budowy </w:t>
            </w:r>
            <w:r>
              <w:rPr>
                <w:sz w:val="16"/>
                <w:szCs w:val="16"/>
              </w:rPr>
              <w:t>posiadający</w:t>
            </w:r>
            <w:r w:rsidRPr="00BA69C2">
              <w:rPr>
                <w:sz w:val="16"/>
                <w:szCs w:val="16"/>
              </w:rPr>
              <w:t xml:space="preserve"> uprawnienia budowlane do kierowania robotami budowalnymi w specj</w:t>
            </w:r>
            <w:r>
              <w:rPr>
                <w:sz w:val="16"/>
                <w:szCs w:val="16"/>
              </w:rPr>
              <w:t xml:space="preserve">alności </w:t>
            </w:r>
            <w:r w:rsidRPr="00153E11">
              <w:rPr>
                <w:b/>
                <w:sz w:val="16"/>
                <w:szCs w:val="16"/>
              </w:rPr>
              <w:t>konstrukcyjno-budowlanej</w:t>
            </w:r>
          </w:p>
          <w:p w:rsidR="00677A70" w:rsidRPr="005A0211" w:rsidRDefault="00677A70" w:rsidP="00ED12C9"/>
        </w:tc>
        <w:tc>
          <w:tcPr>
            <w:tcW w:w="2977" w:type="dxa"/>
            <w:vAlign w:val="center"/>
          </w:tcPr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77A70" w:rsidRPr="005A0211" w:rsidRDefault="00677A70" w:rsidP="00ED12C9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677A70" w:rsidRPr="005A0211" w:rsidRDefault="00677A70" w:rsidP="00ED12C9">
            <w:pPr>
              <w:jc w:val="center"/>
            </w:pPr>
          </w:p>
        </w:tc>
      </w:tr>
    </w:tbl>
    <w:p w:rsidR="00677A70" w:rsidRPr="005A0211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677A70" w:rsidRPr="00473E3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677A70" w:rsidRDefault="00677A70" w:rsidP="00677A70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677A70" w:rsidRDefault="00677A70" w:rsidP="00677A70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DF11CE" w:rsidRDefault="00DF11CE"/>
    <w:sectPr w:rsidR="00DF11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E59" w:rsidRDefault="00B74E59" w:rsidP="00677A70">
      <w:pPr>
        <w:spacing w:after="0" w:line="240" w:lineRule="auto"/>
      </w:pPr>
      <w:r>
        <w:separator/>
      </w:r>
    </w:p>
  </w:endnote>
  <w:endnote w:type="continuationSeparator" w:id="0">
    <w:p w:rsidR="00B74E59" w:rsidRDefault="00B74E59" w:rsidP="0067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E59" w:rsidRDefault="00B74E59" w:rsidP="00677A70">
      <w:pPr>
        <w:spacing w:after="0" w:line="240" w:lineRule="auto"/>
      </w:pPr>
      <w:r>
        <w:separator/>
      </w:r>
    </w:p>
  </w:footnote>
  <w:footnote w:type="continuationSeparator" w:id="0">
    <w:p w:rsidR="00B74E59" w:rsidRDefault="00B74E59" w:rsidP="0067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70" w:rsidRDefault="00EE068F">
    <w:pPr>
      <w:pStyle w:val="Nagwek"/>
    </w:pPr>
    <w:r>
      <w:rPr>
        <w:rFonts w:ascii="Times New Roman" w:eastAsia="Times New Roman" w:hAnsi="Times New Roman" w:cs="Times New Roman"/>
        <w:lang w:eastAsia="pl-PL"/>
      </w:rPr>
      <w:t>Nr sprawy</w:t>
    </w:r>
    <w:r w:rsidR="00677A70" w:rsidRPr="00677A70">
      <w:rPr>
        <w:rFonts w:ascii="Times New Roman" w:eastAsia="Times New Roman" w:hAnsi="Times New Roman" w:cs="Times New Roman"/>
        <w:lang w:eastAsia="pl-PL"/>
      </w:rPr>
      <w:t xml:space="preserve">: </w:t>
    </w:r>
    <w:r w:rsidRPr="00EE068F">
      <w:rPr>
        <w:rFonts w:ascii="Times New Roman" w:eastAsia="Times New Roman" w:hAnsi="Times New Roman" w:cs="Times New Roman"/>
        <w:lang w:eastAsia="pl-PL"/>
      </w:rPr>
      <w:t>22/R.B/2018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A70"/>
    <w:rsid w:val="00677A70"/>
    <w:rsid w:val="007069CF"/>
    <w:rsid w:val="00A27665"/>
    <w:rsid w:val="00B74E59"/>
    <w:rsid w:val="00DF11CE"/>
    <w:rsid w:val="00EE068F"/>
    <w:rsid w:val="00F3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154AB-3075-4F92-AD3E-BD19AC3F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7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A70"/>
  </w:style>
  <w:style w:type="paragraph" w:styleId="Stopka">
    <w:name w:val="footer"/>
    <w:basedOn w:val="Normalny"/>
    <w:link w:val="Stopka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A70"/>
  </w:style>
  <w:style w:type="paragraph" w:styleId="Tekstdymka">
    <w:name w:val="Balloon Text"/>
    <w:basedOn w:val="Normalny"/>
    <w:link w:val="TekstdymkaZnak"/>
    <w:uiPriority w:val="99"/>
    <w:semiHidden/>
    <w:unhideWhenUsed/>
    <w:rsid w:val="00706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cp:lastPrinted>2018-03-06T09:16:00Z</cp:lastPrinted>
  <dcterms:created xsi:type="dcterms:W3CDTF">2018-03-20T09:15:00Z</dcterms:created>
  <dcterms:modified xsi:type="dcterms:W3CDTF">2018-03-20T09:15:00Z</dcterms:modified>
</cp:coreProperties>
</file>